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Министерство просвещения Российской Федерации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администрация города Мариуполя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управление образования администрации города  Мариуполя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муниципальное бюджетное общеобразовательное учреждение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«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Средняя общеобразовательная школа </w:t>
      </w:r>
      <w:r>
        <w:rPr>
          <w:rFonts w:ascii="Segoe UI Symbol" w:hAnsi="Segoe UI Symbol" w:cs="Segoe UI Symbol" w:eastAsia="Segoe UI Symbol"/>
          <w:b/>
          <w:color w:val="auto"/>
          <w:spacing w:val="0"/>
          <w:position w:val="0"/>
          <w:sz w:val="22"/>
          <w:shd w:fill="auto" w:val="clear"/>
        </w:rPr>
        <w:t xml:space="preserve">№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 47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города Мариуполя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  <w:t xml:space="preserve">»</w:t>
      </w:r>
    </w:p>
    <w:tbl>
      <w:tblPr>
        <w:tblInd w:w="108" w:type="dxa"/>
      </w:tblPr>
      <w:tblGrid>
        <w:gridCol w:w="3291"/>
        <w:gridCol w:w="3051"/>
        <w:gridCol w:w="3003"/>
      </w:tblGrid>
      <w:tr>
        <w:trPr>
          <w:trHeight w:val="1" w:hRule="atLeast"/>
          <w:jc w:val="left"/>
        </w:trPr>
        <w:tc>
          <w:tcPr>
            <w:tcW w:w="329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24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РАССМОТРЕНО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»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на заседании                       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методического объединения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общественных наук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Протокол </w:t>
            </w: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0"/>
                <w:shd w:fill="auto" w:val="clear"/>
              </w:rPr>
              <w:t xml:space="preserve">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----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от ----------.                                                  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Руководители МО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Ефремова Ю.Г. _________                                                                 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</w:p>
        </w:tc>
        <w:tc>
          <w:tcPr>
            <w:tcW w:w="305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24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СОГЛАСОВАНО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»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на методическом совете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Председатель МС                                                    -----------  Киптенко И.В.                                                                                                 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Протокол </w:t>
            </w: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0"/>
                <w:shd w:fill="auto" w:val="clear"/>
              </w:rPr>
              <w:t xml:space="preserve">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 ----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от --------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</w:p>
        </w:tc>
        <w:tc>
          <w:tcPr>
            <w:tcW w:w="30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24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УТВЕРЖДЕНО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0"/>
                <w:shd w:fill="auto" w:val="clear"/>
              </w:rPr>
              <w:t xml:space="preserve">»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Директор МБОУ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СШ </w:t>
            </w: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0"/>
                <w:shd w:fill="auto" w:val="clear"/>
              </w:rPr>
              <w:t xml:space="preserve">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47           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г. Мариуполя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»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_________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Е.М. Боруш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Приказ </w:t>
            </w: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0"/>
                <w:shd w:fill="auto" w:val="clear"/>
              </w:rPr>
              <w:t xml:space="preserve">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    --------------------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0"/>
                <w:shd w:fill="auto" w:val="clear"/>
              </w:rPr>
              <w:t xml:space="preserve">от ---------------------------------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Программа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Внеурочной деятельности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«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Функциональная грамотность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»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(2023-2024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учебный год)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для 10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—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11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классов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Учитель Цикилек Л.Л.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г. Мариуполь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2023-24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г.г.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Пояснительная записка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Рабочая программа внеурочной деятельности по основам функциональной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Грамотности составлена на основе следующих нормативных документов: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Федерального закона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 образовании в Российской Федерации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от 29 декабря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2012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273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ФЗ;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Приказа Министерства образования и науки Российской Федерации от 17 мая 2012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413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 утверждении Федерального государственного образовательного стандарта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среднего общего образования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 (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далее ФГОС СОО);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Письма Министерства образования и науки Российской Федерации от 12 мая 2011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03296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 организации внеурочной деятельности при введении Федерального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государственного образовательного стандарта общего образования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Письма Министерства образования и науки Российской Федерации от 12 декабря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2015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09-3564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Методические рекомендации по организации внеурочной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деятельности и реализации дополнительных общеобразовательных программ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Постановления главного государственного санитарного врача Российской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Федерации от 29 декабря 2010 г. </w:t>
      </w:r>
      <w:r>
        <w:rPr>
          <w:rFonts w:ascii="Segoe UI Symbol" w:hAnsi="Segoe UI Symbol" w:cs="Segoe UI Symbol" w:eastAsia="Segoe UI Symbol"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189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 утверждении СанПин 2.4.2.2821-10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Санитарно- эпидемиологические требования к условиям и организации обучения в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общеобразовательных учреждениях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Устава МБОУ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Усть-Киранской СОШ-И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» (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далее Учреждение);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Положения о порядке разработки и утверждения рабочей программы внеурочной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деятельности: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Основной образовательной программы среднего общего образования (по ФГОС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СОО) учреждения.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Данная программа адресована учащимся 10-11 классов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.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В соответствии с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учебным планом в 10 классе отводится 1 час в неделю (всего -34 часа); в 11 классе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отводится 1 час в неделю (всего -34 часа).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Планируемые результаты освоения курса внеурочной деятельности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Предметные результаты: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Обучающиеся научатся анализировать и обобщать (интегрировать) информацию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различного предметного содержания в разном контексте. Проблемы, которые ученику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необходимо проанализировать и синтезировать в единую картину могут иметь как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личный, местный, так и национальный и глобальный аспекты.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Обучающиеся овладеют универсальными способами анализа информации и ее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интеграции в единое целое. У обучающихся формируется умение оценивать,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интерпретировать, делать выводы и строить прогнозы относительно различных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ситуаций, проблем и явлений формируется в отрыве от предметного содержания.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Знания из различных предметных областей легко актуализируются школьником 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используются для решения конкретных проблем.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Метапредметные результаты: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способность находит и извлекать информацию из разных текстов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способность применять извлеченную из текста информацию для решения разного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рода проблем;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анализ и интеграция информации, полученной из текста;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учение интерпретировать и оценивать математические данные в рамках личностно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важной ситуации;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умение оценивать форму и содержание текста в рамках метопредметного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содержания;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Система оценки внеурочной деятельности обучающихся носит комплексный подход 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предусматривает оценку достижений обучающихся (портфолио) и оценку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эффективности внеурочной деятельности лицея.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Оценка достижений результатов внеурочной деятельности происходит в трех формах: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оценка результата, полученного группой обучающихся в рамках одного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направления;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•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индивидуальная оценка результатов внеурочной деятельности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каждого обучающегося на основании экспертной оценки личного портфолио;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Характеристика образовательного процесса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Программа рассчитана на 5 лет обучения (с 5 по 9 классы), реализуется из части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учебного плана, формируемого участниками образовательных отношений и/или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внеурочной деятельности и включает 4 модуля (читательская, естественнонаучная,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математическая и финансовая грамотность).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Разработанный учебно-тематический план программы описывает содержание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модуля из расчета одного/двух часов в неделю в каждом класс-комплекте. Тем не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менее, каждое образовательное учреждение индивидуально проектирует учебный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план по каждой параллели и по каждому модулю.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Таким образом, общее количество часов: минимальное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170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часов максимальное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–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Количество часов на один год обучения в одном класс-комплекте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от 34 до 68 , т.е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СОДЕРЖАНИЕ ТЕМ УЧЕБНОГО КУРСА</w:t>
      </w: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tbl>
      <w:tblPr/>
      <w:tblGrid>
        <w:gridCol w:w="675"/>
        <w:gridCol w:w="4110"/>
        <w:gridCol w:w="2393"/>
        <w:gridCol w:w="2393"/>
      </w:tblGrid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ТЕМА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кл.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11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кл.</w:t>
            </w: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Банки: чем они могут быть полезны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Фондовый рынок: как его использовать роста доходов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421" w:hRule="auto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3.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Налоги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–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почему их надо платить и чем грозит  неуплата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4.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Страхование: что и как надо платить, чтобы не попасть в беду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8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5.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Собственный бизнес как создать и не потерять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6.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Финансовые мошенники как распознать и не стать жертвой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7.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Обеспеченная старость: возможности пенсионного накопления 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</w:tr>
      <w:tr>
        <w:trPr>
          <w:trHeight w:val="1" w:hRule="atLeast"/>
          <w:jc w:val="left"/>
        </w:trPr>
        <w:tc>
          <w:tcPr>
            <w:tcW w:w="67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8.</w:t>
            </w:r>
          </w:p>
        </w:tc>
        <w:tc>
          <w:tcPr>
            <w:tcW w:w="41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Итоговый контроль по  курсу</w:t>
            </w: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39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</w:t>
            </w: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КАЛЕНДАРНО- ТЕМАТИЧЕСКОЕ ПЛАНИРОВАНИЕ  ДЛЯ 10х  КЛАССОВ</w:t>
      </w:r>
    </w:p>
    <w:tbl>
      <w:tblPr/>
      <w:tblGrid>
        <w:gridCol w:w="2025"/>
        <w:gridCol w:w="4255"/>
        <w:gridCol w:w="656"/>
        <w:gridCol w:w="2181"/>
        <w:gridCol w:w="1960"/>
      </w:tblGrid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Модуль: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«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Банки: чем они могут б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ыть полезны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»</w:t>
            </w: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Банковская система</w:t>
            </w: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gramotnost/</w:t>
            </w: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Как сберечь  деньги с помощью депозитов</w:t>
            </w: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hyperlink xmlns:r="http://schemas.openxmlformats.org/officeDocument/2006/relationships" r:id="docRId0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http://skiv.instrao.ru/ba</w:t>
              </w:r>
            </w:hyperlink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nkzadaniy/finansovaya3</w:t>
            </w: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Банки и золото: как сохранить сбережения  во вкладах в драгоценных металлах</w:t>
            </w: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gramotnost/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Кредит: зачем он нужен и как его получить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Какой кредит выбрать и какие условия кредитования предпочесть</w:t>
            </w: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gramotnost/</w:t>
            </w: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 Фондовый рынок: как его использовать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для роста доходов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._____________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3.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Налоги - почему их надо платить и чем грозит неуплата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4.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Модуль" Страхование, и как надо страховать, чтобы не попасть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в беду"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Итоговая аттестация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Модуль" Страхование, что и как надо страховать, чтобы не попасть в беду"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                  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Модуль:             "Собственный бизнес: как создать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и непотерять"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3.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Модуль:    "Финансовые мошенники, Как распознать и не стать  жертвой"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4.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Модуль : Обенспеченная старость"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Итоговая аттестация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Что такое ценные бумаги и какие они бывают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Профессиональные участники рынка ценных бумаг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Граждане на рынке ценных бумаг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Зачем нужны паевые инвестиционные фонды и общие фонды банковского управления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Операции на валютном рынке:  риски и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возможности_________________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Что такое налоги и почему их надо платить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Основы налогообложения граждан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Виды налогообложени, уплачиваемых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физическими лицами России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Налоговые вычеты или, как вернуть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налоги  в семейный  бюджет_______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Страховой рынок России: коротко о главном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Имущественное страхование: как защитить нажитое состояние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Финансовые мошенничества: Виды финансового мошеничества Признаки финансового мошеничества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Как  защититься от финансового мошеничества? Ответственность за мошенические  действия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Возможности  пенсионного накопления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__________________________________________________________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КАЛЕНДАРНОЕ ПЛАНИРОВАНИЕ ДЛЯ 11 КЛАССОВ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Здоровье и жизнь- высшее блага:поговорим о личном страховании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Если нанесен ущерб третьим лицом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Доверя, но проверяй или несколько советов по выбору страхования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Создание собственного бизнеса, что и как надо выбрать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Пишем бизнес -плана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3.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Расходы и доходы в собственном  бизнесе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4.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Налогообложение малого и среднего бизнеса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5.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 какими финансовыми рисками может встретиться бизнемен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1.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Финансовые риски и стратегия инвестирования или .  Финансовая пирамида, как не попасть в сети мошенников Виды финансовых пирамид мошеничества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Виртуальные  ловушки, как не потерять  деньги при работе в сети  Интернет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Сюжетно-обучающая игра Ток-шоу"Все слышат"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Думай о пенсии с молоду или как формируется пенсия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Как распоряжаться своими пенсионными накоплениями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Как выбрать не осударственный пенсионный фонд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Обучающая игра "выбери свой негосударственный пенсионный фонд"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210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8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3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6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10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7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1</w:t>
            </w: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23 gramotnost/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hyperlink xmlns:r="http://schemas.openxmlformats.org/officeDocument/2006/relationships" r:id="docRId1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http://skiv.instrao.ru/ba</w:t>
              </w:r>
            </w:hyperlink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  <w:hyperlink xmlns:r="http://schemas.openxmlformats.org/officeDocument/2006/relationships" r:id="docRId2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http://skiv.instrao.r</w:t>
              </w:r>
            </w:hyperlink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._____________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bankzadaniy/finansova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23 </w:t>
            </w:r>
            <w:hyperlink xmlns:r="http://schemas.openxmlformats.org/officeDocument/2006/relationships" r:id="docRId3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http://skiv.instrao.r</w:t>
              </w:r>
            </w:hyperlink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u/bankzadaniy/finansovay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agramotnost/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hyperlink xmlns:r="http://schemas.openxmlformats.org/officeDocument/2006/relationships" r:id="docRId4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https://fg.resh.edu.ru</w:t>
              </w:r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 HYPERLINK "https://fg.resh.edu.ru/"</w:t>
              </w:r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/</w:t>
              </w:r>
            </w:hyperlink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hyperlink xmlns:r="http://schemas.openxmlformats.org/officeDocument/2006/relationships" r:id="docRId5">
              <w:r>
                <w:rPr>
                  <w:rFonts w:ascii="Calibri" w:hAnsi="Calibri" w:cs="Calibri" w:eastAsia="Calibri"/>
                  <w:color w:val="0000FF"/>
                  <w:spacing w:val="0"/>
                  <w:position w:val="0"/>
                  <w:sz w:val="28"/>
                  <w:u w:val="single"/>
                  <w:shd w:fill="auto" w:val="clear"/>
                </w:rPr>
                <w:t xml:space="preserve">http://skiv.instrao.ru/b</w:t>
              </w:r>
            </w:hyperlink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______________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nkzadaniy/finansovayag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u w:val="single"/>
                <w:shd w:fill="auto" w:val="clear"/>
              </w:rPr>
              <w:t xml:space="preserve">ramotnos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устный опрос,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практическая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  <w:t xml:space="preserve">работа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2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  <w:tc>
          <w:tcPr>
            <w:tcW w:w="425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8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</w:rPr>
            </w:pPr>
          </w:p>
        </w:tc>
        <w:tc>
          <w:tcPr>
            <w:tcW w:w="6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181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9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Учебно-методическое обеспечен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Ковалева Г.С., Рябинина Л.А., Сидорова Г.А. и др Читательская грамотность.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Сборник эталонных заданий. Выпуск 2. Часть 1 </w:t>
      </w:r>
      <w:r>
        <w:rPr>
          <w:rFonts w:ascii="Cambria Math" w:hAnsi="Cambria Math" w:cs="Cambria Math" w:eastAsia="Cambria Math"/>
          <w:color w:val="auto"/>
          <w:spacing w:val="0"/>
          <w:position w:val="0"/>
          <w:sz w:val="28"/>
          <w:shd w:fill="auto" w:val="clear"/>
        </w:rPr>
        <w:t xml:space="preserve">−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М.: Просвещение, 2021.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Ковалева Г.С., Рослова Л.О., Рыдзе О.А. и др. Математическая грамотность.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Сборник эталонных заданий. Выпуск 2. Часть 1. </w:t>
      </w:r>
      <w:r>
        <w:rPr>
          <w:rFonts w:ascii="Cambria Math" w:hAnsi="Cambria Math" w:cs="Cambria Math" w:eastAsia="Cambria Math"/>
          <w:color w:val="auto"/>
          <w:spacing w:val="0"/>
          <w:position w:val="0"/>
          <w:sz w:val="28"/>
          <w:shd w:fill="auto" w:val="clear"/>
        </w:rPr>
        <w:t xml:space="preserve">−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М.: Просвещение, 2021.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Ковалева Г.С., Рутковская Е.Л., Половникова А.В. и др. Финансовая грамотность.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Сборник эталонных заданий. Выпуск 2. Часть 1. </w:t>
      </w:r>
      <w:r>
        <w:rPr>
          <w:rFonts w:ascii="Cambria Math" w:hAnsi="Cambria Math" w:cs="Cambria Math" w:eastAsia="Cambria Math"/>
          <w:color w:val="auto"/>
          <w:spacing w:val="0"/>
          <w:position w:val="0"/>
          <w:sz w:val="28"/>
          <w:shd w:fill="auto" w:val="clear"/>
        </w:rPr>
        <w:t xml:space="preserve">−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М.: Просвещение, 2021.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Ковалева Г.С., Пентин А.Ю., Заграничная Н.А. и др. Естественно-научная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грамотность. Сборник эталонных заданий. Выпуск 2. Часть 1. </w:t>
      </w:r>
      <w:r>
        <w:rPr>
          <w:rFonts w:ascii="Cambria Math" w:hAnsi="Cambria Math" w:cs="Cambria Math" w:eastAsia="Cambria Math"/>
          <w:color w:val="auto"/>
          <w:spacing w:val="0"/>
          <w:position w:val="0"/>
          <w:sz w:val="28"/>
          <w:shd w:fill="auto" w:val="clear"/>
        </w:rPr>
        <w:t xml:space="preserve">−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М.: Просвещение, 2021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.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Российский учебник. Институт стратегии развития образования. [Электронный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ресурс] </w:t>
      </w:r>
      <w:hyperlink xmlns:r="http://schemas.openxmlformats.org/officeDocument/2006/relationships" r:id="docRId6">
        <w:r>
          <w:rPr>
            <w:rFonts w:ascii="Calibri" w:hAnsi="Calibri" w:cs="Calibri" w:eastAsia="Calibri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https://mon.tatarstan.ru/rus/file/pub/pub_2941962.pdf</w:t>
        </w:r>
      </w:hyperlink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Технические средства обучения: Интерактивная доска, ноутбук с колонками и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доступом к сети Интернет, принтер (при необходимости).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Цифровые и электронные образовательные ресурсы: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Открытые on-line задания PISA </w:t>
      </w:r>
      <w:hyperlink xmlns:r="http://schemas.openxmlformats.org/officeDocument/2006/relationships" r:id="docRId7">
        <w:r>
          <w:rPr>
            <w:rFonts w:ascii="Calibri" w:hAnsi="Calibri" w:cs="Calibri" w:eastAsia="Calibri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https://fioco.ru/</w:t>
        </w:r>
      </w:hyperlink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-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Российская электронная школа </w:t>
      </w:r>
      <w:hyperlink xmlns:r="http://schemas.openxmlformats.org/officeDocument/2006/relationships" r:id="docRId8">
        <w:r>
          <w:rPr>
            <w:rFonts w:ascii="Calibri" w:hAnsi="Calibri" w:cs="Calibri" w:eastAsia="Calibri"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https://resh.edu.ru/</w:t>
        </w:r>
      </w:hyperlink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Mode="External" Target="http://skiv.instrao.r/" Id="docRId3" Type="http://schemas.openxmlformats.org/officeDocument/2006/relationships/hyperlink" /><Relationship TargetMode="External" Target="https://fioco.ru/" Id="docRId7" Type="http://schemas.openxmlformats.org/officeDocument/2006/relationships/hyperlink" /><Relationship TargetMode="External" Target="http://skiv.instrao.ru/ba" Id="docRId0" Type="http://schemas.openxmlformats.org/officeDocument/2006/relationships/hyperlink" /><Relationship Target="styles.xml" Id="docRId10" Type="http://schemas.openxmlformats.org/officeDocument/2006/relationships/styles" /><Relationship TargetMode="External" Target="http://skiv.instrao.r/" Id="docRId2" Type="http://schemas.openxmlformats.org/officeDocument/2006/relationships/hyperlink" /><Relationship TargetMode="External" Target="https://fg.resh.edu.ru/" Id="docRId4" Type="http://schemas.openxmlformats.org/officeDocument/2006/relationships/hyperlink" /><Relationship TargetMode="External" Target="https://mon.tatarstan.ru/rus/file/pub/pub_2941962.pdf" Id="docRId6" Type="http://schemas.openxmlformats.org/officeDocument/2006/relationships/hyperlink" /><Relationship TargetMode="External" Target="https://resh.edu.ru/" Id="docRId8" Type="http://schemas.openxmlformats.org/officeDocument/2006/relationships/hyperlink" /><Relationship TargetMode="External" Target="http://skiv.instrao.ru/ba" Id="docRId1" Type="http://schemas.openxmlformats.org/officeDocument/2006/relationships/hyperlink" /><Relationship TargetMode="External" Target="http://skiv.instrao.ru/b" Id="docRId5" Type="http://schemas.openxmlformats.org/officeDocument/2006/relationships/hyperlink" /><Relationship Target="numbering.xml" Id="docRId9" Type="http://schemas.openxmlformats.org/officeDocument/2006/relationships/numbering" /></Relationships>
</file>